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15" w:rsidRPr="001F758E" w:rsidRDefault="009E63DF" w:rsidP="001F75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независимой оценки качества услуг </w:t>
      </w:r>
      <w:r>
        <w:rPr>
          <w:rFonts w:ascii="Times New Roman" w:hAnsi="Times New Roman" w:cs="Times New Roman"/>
          <w:b/>
          <w:sz w:val="28"/>
          <w:szCs w:val="28"/>
        </w:rPr>
        <w:t>МАУ ДО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Камышловская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детская хореографическая школа»</w:t>
      </w:r>
      <w:r>
        <w:rPr>
          <w:rFonts w:ascii="Times New Roman" w:hAnsi="Times New Roman" w:cs="Times New Roman"/>
          <w:b/>
          <w:sz w:val="28"/>
          <w:szCs w:val="28"/>
        </w:rPr>
        <w:t xml:space="preserve"> (2017 г.)</w:t>
      </w:r>
    </w:p>
    <w:p w:rsidR="009E63DF" w:rsidRDefault="009E63DF" w:rsidP="001F75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независимой оценки качества услуг в 2017 году Муниципальное автономное учреждение дополнительного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хореографическая школа» занимает 414 место из 531 образовательного учреждения Свердловской области, получив итоговый балл 119,29. Анализ полученных баллов по отдельным критериям независимой оценки позволяет сделать следующие выводы:</w:t>
      </w:r>
    </w:p>
    <w:p w:rsidR="009E63DF" w:rsidRDefault="001F758E" w:rsidP="001F75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58E">
        <w:rPr>
          <w:rFonts w:ascii="Times New Roman" w:hAnsi="Times New Roman" w:cs="Times New Roman"/>
          <w:b/>
          <w:sz w:val="28"/>
          <w:szCs w:val="28"/>
        </w:rPr>
        <w:t xml:space="preserve">1) Открытость и доступность информации, размещенной на официальном сайте организации. </w:t>
      </w:r>
      <w:r>
        <w:rPr>
          <w:rFonts w:ascii="Times New Roman" w:hAnsi="Times New Roman" w:cs="Times New Roman"/>
          <w:sz w:val="28"/>
          <w:szCs w:val="28"/>
        </w:rPr>
        <w:t>Результаты независимой оценки показывают, что на официальном сайте размещена полная и хорошо структурированная информация о деятельности учреждения (</w:t>
      </w:r>
      <w:r w:rsidRPr="001F758E">
        <w:rPr>
          <w:rFonts w:ascii="Times New Roman" w:hAnsi="Times New Roman" w:cs="Times New Roman"/>
          <w:i/>
          <w:sz w:val="28"/>
          <w:szCs w:val="28"/>
        </w:rPr>
        <w:t>показатель 1.1 – 9,75 баллов</w:t>
      </w:r>
      <w:r>
        <w:rPr>
          <w:rFonts w:ascii="Times New Roman" w:hAnsi="Times New Roman" w:cs="Times New Roman"/>
          <w:sz w:val="28"/>
          <w:szCs w:val="28"/>
        </w:rPr>
        <w:t>). Также присутствуют актуальные сведения о педагогических работниках (</w:t>
      </w:r>
      <w:r w:rsidRPr="001F758E">
        <w:rPr>
          <w:rFonts w:ascii="Times New Roman" w:hAnsi="Times New Roman" w:cs="Times New Roman"/>
          <w:i/>
          <w:sz w:val="28"/>
          <w:szCs w:val="28"/>
        </w:rPr>
        <w:t>показатель 1.2 – 9,22 ба</w:t>
      </w:r>
      <w:bookmarkStart w:id="0" w:name="_GoBack"/>
      <w:bookmarkEnd w:id="0"/>
      <w:r w:rsidRPr="001F758E">
        <w:rPr>
          <w:rFonts w:ascii="Times New Roman" w:hAnsi="Times New Roman" w:cs="Times New Roman"/>
          <w:i/>
          <w:sz w:val="28"/>
          <w:szCs w:val="28"/>
        </w:rPr>
        <w:t>ллов</w:t>
      </w:r>
      <w:r>
        <w:rPr>
          <w:rFonts w:ascii="Times New Roman" w:hAnsi="Times New Roman" w:cs="Times New Roman"/>
          <w:sz w:val="28"/>
          <w:szCs w:val="28"/>
        </w:rPr>
        <w:t>). Критерий доступности взаимодействия с получателями образовательных услуг</w:t>
      </w:r>
      <w:r w:rsidR="00627BE7">
        <w:rPr>
          <w:rFonts w:ascii="Times New Roman" w:hAnsi="Times New Roman" w:cs="Times New Roman"/>
          <w:sz w:val="28"/>
          <w:szCs w:val="28"/>
        </w:rPr>
        <w:t xml:space="preserve"> (</w:t>
      </w:r>
      <w:r w:rsidR="00627BE7" w:rsidRPr="00627BE7">
        <w:rPr>
          <w:rFonts w:ascii="Times New Roman" w:hAnsi="Times New Roman" w:cs="Times New Roman"/>
          <w:i/>
          <w:sz w:val="28"/>
          <w:szCs w:val="28"/>
        </w:rPr>
        <w:t>1.3)</w:t>
      </w:r>
      <w:r>
        <w:rPr>
          <w:rFonts w:ascii="Times New Roman" w:hAnsi="Times New Roman" w:cs="Times New Roman"/>
          <w:sz w:val="28"/>
          <w:szCs w:val="28"/>
        </w:rPr>
        <w:t xml:space="preserve"> получил </w:t>
      </w:r>
      <w:r w:rsidRPr="00627BE7">
        <w:rPr>
          <w:rFonts w:ascii="Times New Roman" w:hAnsi="Times New Roman" w:cs="Times New Roman"/>
          <w:i/>
          <w:sz w:val="28"/>
          <w:szCs w:val="28"/>
        </w:rPr>
        <w:t>7,45</w:t>
      </w:r>
      <w:r>
        <w:rPr>
          <w:rFonts w:ascii="Times New Roman" w:hAnsi="Times New Roman" w:cs="Times New Roman"/>
          <w:sz w:val="28"/>
          <w:szCs w:val="28"/>
        </w:rPr>
        <w:t xml:space="preserve"> баллов, а критерий доступности сведений о ходе рассмотрения обращений граждан</w:t>
      </w:r>
      <w:r w:rsidR="00627BE7">
        <w:rPr>
          <w:rFonts w:ascii="Times New Roman" w:hAnsi="Times New Roman" w:cs="Times New Roman"/>
          <w:sz w:val="28"/>
          <w:szCs w:val="28"/>
        </w:rPr>
        <w:t xml:space="preserve"> (</w:t>
      </w:r>
      <w:r w:rsidR="00627BE7" w:rsidRPr="00627BE7">
        <w:rPr>
          <w:rFonts w:ascii="Times New Roman" w:hAnsi="Times New Roman" w:cs="Times New Roman"/>
          <w:i/>
          <w:sz w:val="28"/>
          <w:szCs w:val="28"/>
        </w:rPr>
        <w:t>1.4</w:t>
      </w:r>
      <w:r w:rsidR="00627BE7">
        <w:rPr>
          <w:rFonts w:ascii="Times New Roman" w:hAnsi="Times New Roman" w:cs="Times New Roman"/>
          <w:sz w:val="28"/>
          <w:szCs w:val="28"/>
        </w:rPr>
        <w:t xml:space="preserve">) – </w:t>
      </w:r>
      <w:r w:rsidR="00627BE7" w:rsidRPr="00627BE7">
        <w:rPr>
          <w:rFonts w:ascii="Times New Roman" w:hAnsi="Times New Roman" w:cs="Times New Roman"/>
          <w:i/>
          <w:sz w:val="28"/>
          <w:szCs w:val="28"/>
        </w:rPr>
        <w:t>4,51</w:t>
      </w:r>
      <w:r w:rsidR="00627BE7">
        <w:rPr>
          <w:rFonts w:ascii="Times New Roman" w:hAnsi="Times New Roman" w:cs="Times New Roman"/>
          <w:sz w:val="28"/>
          <w:szCs w:val="28"/>
        </w:rPr>
        <w:t xml:space="preserve"> балл, что является низким показателем. Вероятно, не все респонденты корректно поняли суть вопроса. В учреждении ведётся работа по поддержанию стабильной информационной связи с получателями образовательных услуг посредством объявлений на информационном стенде, школьном телевидении и официальном сайте, информирования и консультирования по телефону, электронной почте. В ближайшее время на официальном сайте будут введены гостевая книга и электронная приёмная. </w:t>
      </w:r>
    </w:p>
    <w:p w:rsidR="00627BE7" w:rsidRDefault="00627BE7" w:rsidP="001F75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Комфортность условий, в которых осуществляется образовательная деятельность. </w:t>
      </w:r>
      <w:r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Pr="00774486">
        <w:rPr>
          <w:rFonts w:ascii="Times New Roman" w:hAnsi="Times New Roman" w:cs="Times New Roman"/>
          <w:i/>
          <w:sz w:val="28"/>
          <w:szCs w:val="28"/>
        </w:rPr>
        <w:t>«Материально-технического и информационного обеспечения организации» (2.1</w:t>
      </w:r>
      <w:r>
        <w:rPr>
          <w:rFonts w:ascii="Times New Roman" w:hAnsi="Times New Roman" w:cs="Times New Roman"/>
          <w:sz w:val="28"/>
          <w:szCs w:val="28"/>
        </w:rPr>
        <w:t xml:space="preserve">) получил </w:t>
      </w:r>
      <w:r w:rsidRPr="00774486">
        <w:rPr>
          <w:rFonts w:ascii="Times New Roman" w:hAnsi="Times New Roman" w:cs="Times New Roman"/>
          <w:i/>
          <w:sz w:val="28"/>
          <w:szCs w:val="28"/>
        </w:rPr>
        <w:t>5,41</w:t>
      </w:r>
      <w:r>
        <w:rPr>
          <w:rFonts w:ascii="Times New Roman" w:hAnsi="Times New Roman" w:cs="Times New Roman"/>
          <w:sz w:val="28"/>
          <w:szCs w:val="28"/>
        </w:rPr>
        <w:t xml:space="preserve"> баллов, что, в первую очередь, связано с нехваткой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помещений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для учебных занятий, так и вспомогательных (отдельная раздевалка). </w:t>
      </w:r>
      <w:r w:rsidR="00774486">
        <w:rPr>
          <w:rFonts w:ascii="Times New Roman" w:hAnsi="Times New Roman" w:cs="Times New Roman"/>
          <w:sz w:val="28"/>
          <w:szCs w:val="28"/>
        </w:rPr>
        <w:t xml:space="preserve">В настоящее время ведётся работа по приобретению и активному включению в образовательный процесс электронных средств обучения (мультимедийная доска, персональные компьютеры с доступом к сети «Интернет» </w:t>
      </w:r>
      <w:proofErr w:type="gramStart"/>
      <w:r w:rsidR="0077448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774486">
        <w:rPr>
          <w:rFonts w:ascii="Times New Roman" w:hAnsi="Times New Roman" w:cs="Times New Roman"/>
          <w:sz w:val="28"/>
          <w:szCs w:val="28"/>
        </w:rPr>
        <w:t xml:space="preserve"> обучающихся). Показатель </w:t>
      </w:r>
      <w:r w:rsidR="00774486" w:rsidRPr="006E4A7B">
        <w:rPr>
          <w:rFonts w:ascii="Times New Roman" w:hAnsi="Times New Roman" w:cs="Times New Roman"/>
          <w:i/>
          <w:sz w:val="28"/>
          <w:szCs w:val="28"/>
        </w:rPr>
        <w:t>2.2.</w:t>
      </w:r>
      <w:r w:rsidR="00774486">
        <w:rPr>
          <w:rFonts w:ascii="Times New Roman" w:hAnsi="Times New Roman" w:cs="Times New Roman"/>
          <w:sz w:val="28"/>
          <w:szCs w:val="28"/>
        </w:rPr>
        <w:t xml:space="preserve"> получил низкий балл </w:t>
      </w:r>
      <w:r w:rsidR="00774486" w:rsidRPr="00774486">
        <w:rPr>
          <w:rFonts w:ascii="Times New Roman" w:hAnsi="Times New Roman" w:cs="Times New Roman"/>
          <w:i/>
          <w:sz w:val="28"/>
          <w:szCs w:val="28"/>
        </w:rPr>
        <w:t>3,69</w:t>
      </w:r>
      <w:r w:rsidR="00774486">
        <w:rPr>
          <w:rFonts w:ascii="Times New Roman" w:hAnsi="Times New Roman" w:cs="Times New Roman"/>
          <w:sz w:val="28"/>
          <w:szCs w:val="28"/>
        </w:rPr>
        <w:t xml:space="preserve"> в силу того, что в учреждении данного типа (учреждение дополнительного образования, где ученики находятся не дольше 3-х часов в день) не предусмотрено обязательное создание условий для организации питания и укрепления здоровья обучающихся (стадион). Во время нахождения в образовательном учреждении учащиеся имеют доступ к питьевой воде и услугам медицинского работника при необходимости. </w:t>
      </w:r>
    </w:p>
    <w:p w:rsidR="00774486" w:rsidRDefault="00774486" w:rsidP="001F75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показателю </w:t>
      </w:r>
      <w:r w:rsidRPr="00B44EB3">
        <w:rPr>
          <w:rFonts w:ascii="Times New Roman" w:hAnsi="Times New Roman" w:cs="Times New Roman"/>
          <w:i/>
          <w:sz w:val="28"/>
          <w:szCs w:val="28"/>
        </w:rPr>
        <w:t xml:space="preserve">2.3 «Условия для индивидуальной работы с </w:t>
      </w:r>
      <w:proofErr w:type="gramStart"/>
      <w:r w:rsidRPr="00B44EB3">
        <w:rPr>
          <w:rFonts w:ascii="Times New Roman" w:hAnsi="Times New Roman" w:cs="Times New Roman"/>
          <w:i/>
          <w:sz w:val="28"/>
          <w:szCs w:val="28"/>
        </w:rPr>
        <w:t>обучающимися</w:t>
      </w:r>
      <w:proofErr w:type="gramEnd"/>
      <w:r w:rsidRPr="00B44EB3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учреждение получило 5,55 баллов. В учреждении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реализуются дополнительные образовательные программы для индивидуального обучения и в будущем планируется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предоставить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учащимся доступ к сети «Интернет» и электронным средствам обучения. </w:t>
      </w:r>
      <w:r w:rsidR="00B44EB3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B44EB3" w:rsidRPr="00B44EB3">
        <w:rPr>
          <w:rFonts w:ascii="Times New Roman" w:hAnsi="Times New Roman" w:cs="Times New Roman"/>
          <w:i/>
          <w:sz w:val="28"/>
          <w:szCs w:val="28"/>
        </w:rPr>
        <w:t>«Наличие дополнительных образовательных программ»</w:t>
      </w:r>
      <w:r w:rsidR="006E4A7B">
        <w:rPr>
          <w:rFonts w:ascii="Times New Roman" w:hAnsi="Times New Roman" w:cs="Times New Roman"/>
          <w:i/>
          <w:sz w:val="28"/>
          <w:szCs w:val="28"/>
        </w:rPr>
        <w:t xml:space="preserve"> (2.4)</w:t>
      </w:r>
      <w:r w:rsidR="00B44EB3">
        <w:rPr>
          <w:rFonts w:ascii="Times New Roman" w:hAnsi="Times New Roman" w:cs="Times New Roman"/>
          <w:sz w:val="28"/>
          <w:szCs w:val="28"/>
        </w:rPr>
        <w:t xml:space="preserve"> получил </w:t>
      </w:r>
      <w:r w:rsidR="00B44EB3" w:rsidRPr="00B44EB3">
        <w:rPr>
          <w:rFonts w:ascii="Times New Roman" w:hAnsi="Times New Roman" w:cs="Times New Roman"/>
          <w:i/>
          <w:sz w:val="28"/>
          <w:szCs w:val="28"/>
        </w:rPr>
        <w:t>5,84 балла</w:t>
      </w:r>
      <w:r w:rsidR="00B44EB3">
        <w:rPr>
          <w:rFonts w:ascii="Times New Roman" w:hAnsi="Times New Roman" w:cs="Times New Roman"/>
          <w:sz w:val="28"/>
          <w:szCs w:val="28"/>
        </w:rPr>
        <w:t xml:space="preserve">. Поскольку образовательное учреждение является учреждением дополнительного образования, все образовательные программы, реализуемые в нём, являются дополнительными. На сегодняшний день, помимо дополнительной предпрофессиональной программы «Хореографическое творчество», в учреждении реализуется 3 </w:t>
      </w:r>
      <w:proofErr w:type="gramStart"/>
      <w:r w:rsidR="00B44EB3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 w:rsidR="00B44EB3">
        <w:rPr>
          <w:rFonts w:ascii="Times New Roman" w:hAnsi="Times New Roman" w:cs="Times New Roman"/>
          <w:sz w:val="28"/>
          <w:szCs w:val="28"/>
        </w:rPr>
        <w:t xml:space="preserve"> общеразвивающих программы. Вопрос может быть не совсем ясен для респондентов, поскольку сформулирован, в первую очередь, с учётом особенностей деятельности общеобразовательных учреждений. </w:t>
      </w:r>
    </w:p>
    <w:p w:rsidR="00B44EB3" w:rsidRDefault="00B44EB3" w:rsidP="00B44E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Pr="00B44EB3">
        <w:rPr>
          <w:rFonts w:ascii="Times New Roman" w:hAnsi="Times New Roman" w:cs="Times New Roman"/>
          <w:i/>
          <w:sz w:val="28"/>
          <w:szCs w:val="28"/>
        </w:rPr>
        <w:t>«Наличие возможности развития творческих способностей и интересов обучающихся» (2.5)</w:t>
      </w:r>
      <w:r>
        <w:rPr>
          <w:rFonts w:ascii="Times New Roman" w:hAnsi="Times New Roman" w:cs="Times New Roman"/>
          <w:sz w:val="28"/>
          <w:szCs w:val="28"/>
        </w:rPr>
        <w:t xml:space="preserve"> получил </w:t>
      </w:r>
      <w:r w:rsidRPr="00B44EB3">
        <w:rPr>
          <w:rFonts w:ascii="Times New Roman" w:hAnsi="Times New Roman" w:cs="Times New Roman"/>
          <w:i/>
          <w:sz w:val="28"/>
          <w:szCs w:val="28"/>
        </w:rPr>
        <w:t>6,35 баллов</w:t>
      </w:r>
      <w:r>
        <w:rPr>
          <w:rFonts w:ascii="Times New Roman" w:hAnsi="Times New Roman" w:cs="Times New Roman"/>
          <w:sz w:val="28"/>
          <w:szCs w:val="28"/>
        </w:rPr>
        <w:t xml:space="preserve">, что, опять же, может быть связано с тем, что он направлен, в первую очередь, на общеобразовательные учреждения. Обучающиеся по дополнительной предпрофессиональной программе участвуют в культурных мероприятиях не менее одного раза в месяц, также предусмотрено регулярное участие в конкурсах хореографической направленности самого разного масштаба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регионального до международного. Организация участия обучающихся в олимпиадах и спортивных состязаниях спецификой образовательного учреждения не предусмотрена. </w:t>
      </w:r>
    </w:p>
    <w:p w:rsidR="00B44EB3" w:rsidRDefault="00B44EB3" w:rsidP="00B44E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Pr="00DF5C28">
        <w:rPr>
          <w:rFonts w:ascii="Times New Roman" w:hAnsi="Times New Roman" w:cs="Times New Roman"/>
          <w:i/>
          <w:sz w:val="28"/>
          <w:szCs w:val="28"/>
        </w:rPr>
        <w:t xml:space="preserve">«Наличие возможности оказания психолого-педагогической, медицинской и социальной помощи </w:t>
      </w:r>
      <w:proofErr w:type="gramStart"/>
      <w:r w:rsidRPr="00DF5C28">
        <w:rPr>
          <w:rFonts w:ascii="Times New Roman" w:hAnsi="Times New Roman" w:cs="Times New Roman"/>
          <w:i/>
          <w:sz w:val="28"/>
          <w:szCs w:val="28"/>
        </w:rPr>
        <w:t>обучающимся</w:t>
      </w:r>
      <w:proofErr w:type="gramEnd"/>
      <w:r w:rsidRPr="00DF5C28">
        <w:rPr>
          <w:rFonts w:ascii="Times New Roman" w:hAnsi="Times New Roman" w:cs="Times New Roman"/>
          <w:i/>
          <w:sz w:val="28"/>
          <w:szCs w:val="28"/>
        </w:rPr>
        <w:t>»</w:t>
      </w:r>
      <w:r w:rsidR="00DF5C28">
        <w:rPr>
          <w:rFonts w:ascii="Times New Roman" w:hAnsi="Times New Roman" w:cs="Times New Roman"/>
          <w:i/>
          <w:sz w:val="28"/>
          <w:szCs w:val="28"/>
        </w:rPr>
        <w:t xml:space="preserve"> (2.6)</w:t>
      </w:r>
      <w:r>
        <w:rPr>
          <w:rFonts w:ascii="Times New Roman" w:hAnsi="Times New Roman" w:cs="Times New Roman"/>
          <w:sz w:val="28"/>
          <w:szCs w:val="28"/>
        </w:rPr>
        <w:t xml:space="preserve"> получил </w:t>
      </w:r>
      <w:r w:rsidRPr="00DF5C28">
        <w:rPr>
          <w:rFonts w:ascii="Times New Roman" w:hAnsi="Times New Roman" w:cs="Times New Roman"/>
          <w:i/>
          <w:sz w:val="28"/>
          <w:szCs w:val="28"/>
        </w:rPr>
        <w:t>8,44 баллов</w:t>
      </w:r>
      <w:r>
        <w:rPr>
          <w:rFonts w:ascii="Times New Roman" w:hAnsi="Times New Roman" w:cs="Times New Roman"/>
          <w:sz w:val="28"/>
          <w:szCs w:val="28"/>
        </w:rPr>
        <w:t>. В учреждении предусмотрен доступ к медицинской помощи (договор с ГБУЗ 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</w:t>
      </w:r>
      <w:r w:rsidR="00DF5C28">
        <w:rPr>
          <w:rFonts w:ascii="Times New Roman" w:hAnsi="Times New Roman" w:cs="Times New Roman"/>
          <w:sz w:val="28"/>
          <w:szCs w:val="28"/>
        </w:rPr>
        <w:t xml:space="preserve">), что является обязательным условием организации образовательного процесса. Психолого-педагогическая </w:t>
      </w:r>
      <w:proofErr w:type="gramStart"/>
      <w:r w:rsidR="00DF5C28">
        <w:rPr>
          <w:rFonts w:ascii="Times New Roman" w:hAnsi="Times New Roman" w:cs="Times New Roman"/>
          <w:sz w:val="28"/>
          <w:szCs w:val="28"/>
        </w:rPr>
        <w:t>помощь</w:t>
      </w:r>
      <w:proofErr w:type="gramEnd"/>
      <w:r w:rsidR="00DF5C28">
        <w:rPr>
          <w:rFonts w:ascii="Times New Roman" w:hAnsi="Times New Roman" w:cs="Times New Roman"/>
          <w:sz w:val="28"/>
          <w:szCs w:val="28"/>
        </w:rPr>
        <w:t xml:space="preserve"> оказывается посредством внеклассных мероприятий (иногда с участием приглашенных специалистов) и индивидуальных консультаций с проблемными обучающимися и их родителями</w:t>
      </w:r>
      <w:r w:rsidR="00DF5C28" w:rsidRPr="00DF5C28">
        <w:rPr>
          <w:rFonts w:ascii="Times New Roman" w:hAnsi="Times New Roman" w:cs="Times New Roman"/>
          <w:sz w:val="28"/>
          <w:szCs w:val="28"/>
        </w:rPr>
        <w:t>/</w:t>
      </w:r>
      <w:r w:rsidR="00DF5C28">
        <w:rPr>
          <w:rFonts w:ascii="Times New Roman" w:hAnsi="Times New Roman" w:cs="Times New Roman"/>
          <w:sz w:val="28"/>
          <w:szCs w:val="28"/>
        </w:rPr>
        <w:t xml:space="preserve">родственниками. Показатель </w:t>
      </w:r>
      <w:r w:rsidR="00DF5C28" w:rsidRPr="00DF5C28">
        <w:rPr>
          <w:rFonts w:ascii="Times New Roman" w:hAnsi="Times New Roman" w:cs="Times New Roman"/>
          <w:i/>
          <w:sz w:val="28"/>
          <w:szCs w:val="28"/>
        </w:rPr>
        <w:t xml:space="preserve">«Наличие условий организации обучения и </w:t>
      </w:r>
      <w:proofErr w:type="gramStart"/>
      <w:r w:rsidR="00DF5C28" w:rsidRPr="00DF5C28">
        <w:rPr>
          <w:rFonts w:ascii="Times New Roman" w:hAnsi="Times New Roman" w:cs="Times New Roman"/>
          <w:i/>
          <w:sz w:val="28"/>
          <w:szCs w:val="28"/>
        </w:rPr>
        <w:t>воспитания</w:t>
      </w:r>
      <w:proofErr w:type="gramEnd"/>
      <w:r w:rsidR="00DF5C28" w:rsidRPr="00DF5C28">
        <w:rPr>
          <w:rFonts w:ascii="Times New Roman" w:hAnsi="Times New Roman" w:cs="Times New Roman"/>
          <w:i/>
          <w:sz w:val="28"/>
          <w:szCs w:val="28"/>
        </w:rPr>
        <w:t xml:space="preserve"> обучающихся с ограниченными возможностями здоровья и инвалидов»</w:t>
      </w:r>
      <w:r w:rsidR="00DF5C28">
        <w:rPr>
          <w:rFonts w:ascii="Times New Roman" w:hAnsi="Times New Roman" w:cs="Times New Roman"/>
          <w:i/>
          <w:sz w:val="28"/>
          <w:szCs w:val="28"/>
        </w:rPr>
        <w:t xml:space="preserve"> (2,</w:t>
      </w:r>
      <w:r w:rsidR="00DF5C28" w:rsidRPr="00DF5C28">
        <w:rPr>
          <w:rFonts w:ascii="Times New Roman" w:hAnsi="Times New Roman" w:cs="Times New Roman"/>
          <w:i/>
          <w:sz w:val="28"/>
          <w:szCs w:val="28"/>
        </w:rPr>
        <w:t>7)</w:t>
      </w:r>
      <w:r w:rsidR="00DF5C28">
        <w:rPr>
          <w:rFonts w:ascii="Times New Roman" w:hAnsi="Times New Roman" w:cs="Times New Roman"/>
          <w:sz w:val="28"/>
          <w:szCs w:val="28"/>
        </w:rPr>
        <w:t xml:space="preserve"> получил низкий балл </w:t>
      </w:r>
      <w:r w:rsidR="00DF5C28" w:rsidRPr="00DF5C28">
        <w:rPr>
          <w:rFonts w:ascii="Times New Roman" w:hAnsi="Times New Roman" w:cs="Times New Roman"/>
          <w:i/>
          <w:sz w:val="28"/>
          <w:szCs w:val="28"/>
        </w:rPr>
        <w:t>3,41</w:t>
      </w:r>
      <w:r w:rsidR="00DF5C28">
        <w:rPr>
          <w:rFonts w:ascii="Times New Roman" w:hAnsi="Times New Roman" w:cs="Times New Roman"/>
          <w:sz w:val="28"/>
          <w:szCs w:val="28"/>
        </w:rPr>
        <w:t xml:space="preserve">. Стоит отметить, что поскольку образовательное учреждение находится на территории другой организации (МАОУ «Школа № 3» КГО), возможности </w:t>
      </w:r>
      <w:proofErr w:type="gramStart"/>
      <w:r w:rsidR="00DF5C28">
        <w:rPr>
          <w:rFonts w:ascii="Times New Roman" w:hAnsi="Times New Roman" w:cs="Times New Roman"/>
          <w:sz w:val="28"/>
          <w:szCs w:val="28"/>
        </w:rPr>
        <w:t>оборудовать главный вход пандусом нет</w:t>
      </w:r>
      <w:proofErr w:type="gramEnd"/>
      <w:r w:rsidR="00DF5C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F5C28">
        <w:rPr>
          <w:rFonts w:ascii="Times New Roman" w:hAnsi="Times New Roman" w:cs="Times New Roman"/>
          <w:sz w:val="28"/>
          <w:szCs w:val="28"/>
        </w:rPr>
        <w:t>Также нехватка помещений в учреждении приводит к необходимости назначать занятия некоторых групп учащихся на вечернее время</w:t>
      </w:r>
      <w:r w:rsidR="006E4A7B">
        <w:rPr>
          <w:rFonts w:ascii="Times New Roman" w:hAnsi="Times New Roman" w:cs="Times New Roman"/>
          <w:sz w:val="28"/>
          <w:szCs w:val="28"/>
        </w:rPr>
        <w:t xml:space="preserve"> и созданию не вполне комфортных условий для обучающихся (тесное помещение для подготовки к занятиям, маленькая душевая, малое количество сидений, узкие дверные проёмы). </w:t>
      </w:r>
      <w:proofErr w:type="gramEnd"/>
    </w:p>
    <w:p w:rsidR="006E4A7B" w:rsidRDefault="006E4A7B" w:rsidP="00B44E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A7B">
        <w:rPr>
          <w:rFonts w:ascii="Times New Roman" w:hAnsi="Times New Roman" w:cs="Times New Roman"/>
          <w:b/>
          <w:sz w:val="28"/>
          <w:szCs w:val="28"/>
        </w:rPr>
        <w:t>3) Доброжелательность, вежливость, компетентность работников.</w:t>
      </w:r>
      <w:r>
        <w:rPr>
          <w:rFonts w:ascii="Times New Roman" w:hAnsi="Times New Roman" w:cs="Times New Roman"/>
          <w:sz w:val="28"/>
          <w:szCs w:val="28"/>
        </w:rPr>
        <w:t xml:space="preserve"> Показатели </w:t>
      </w:r>
      <w:r w:rsidRPr="006E4A7B">
        <w:rPr>
          <w:rFonts w:ascii="Times New Roman" w:hAnsi="Times New Roman" w:cs="Times New Roman"/>
          <w:i/>
          <w:sz w:val="28"/>
          <w:szCs w:val="28"/>
        </w:rPr>
        <w:t>3.1 «Доброжелательность и вежливость работников»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E4A7B">
        <w:rPr>
          <w:rFonts w:ascii="Times New Roman" w:hAnsi="Times New Roman" w:cs="Times New Roman"/>
          <w:i/>
          <w:sz w:val="28"/>
          <w:szCs w:val="28"/>
        </w:rPr>
        <w:t>3.2 «Компетентность работников»</w:t>
      </w:r>
      <w:r>
        <w:rPr>
          <w:rFonts w:ascii="Times New Roman" w:hAnsi="Times New Roman" w:cs="Times New Roman"/>
          <w:sz w:val="28"/>
          <w:szCs w:val="28"/>
        </w:rPr>
        <w:t xml:space="preserve"> получили высокие баллы 9,7 и 10 соответственно, что говорит об отсутствии систематических проблем в этом отношении в учреждении. </w:t>
      </w:r>
    </w:p>
    <w:p w:rsidR="006E4A7B" w:rsidRDefault="006E4A7B" w:rsidP="00B44E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A7B">
        <w:rPr>
          <w:rFonts w:ascii="Times New Roman" w:hAnsi="Times New Roman" w:cs="Times New Roman"/>
          <w:b/>
          <w:sz w:val="28"/>
          <w:szCs w:val="28"/>
        </w:rPr>
        <w:t xml:space="preserve">4) Общее удовлетворение качеством образовательной деятельности организации. </w:t>
      </w:r>
      <w:r>
        <w:rPr>
          <w:rFonts w:ascii="Times New Roman" w:hAnsi="Times New Roman" w:cs="Times New Roman"/>
          <w:sz w:val="28"/>
          <w:szCs w:val="28"/>
        </w:rPr>
        <w:t>В этой части по всем трём показателям учреждение получило высокие баллы (10). Респонденты не предъявили претензий к общему материально-техническому обеспечению образовательного процесса (</w:t>
      </w:r>
      <w:r>
        <w:rPr>
          <w:rFonts w:ascii="Times New Roman" w:hAnsi="Times New Roman" w:cs="Times New Roman"/>
          <w:i/>
          <w:sz w:val="28"/>
          <w:szCs w:val="28"/>
        </w:rPr>
        <w:t>4.</w:t>
      </w:r>
      <w:r w:rsidRPr="006E4A7B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и к качеству предоставляемых услуг (</w:t>
      </w:r>
      <w:r>
        <w:rPr>
          <w:rFonts w:ascii="Times New Roman" w:hAnsi="Times New Roman" w:cs="Times New Roman"/>
          <w:i/>
          <w:sz w:val="28"/>
          <w:szCs w:val="28"/>
        </w:rPr>
        <w:t>4.</w:t>
      </w:r>
      <w:r w:rsidRPr="006E4A7B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), а также выразили готовность рекомендовать учреждение родственникам и знакомым (</w:t>
      </w:r>
      <w:r w:rsidRPr="006E4A7B">
        <w:rPr>
          <w:rFonts w:ascii="Times New Roman" w:hAnsi="Times New Roman" w:cs="Times New Roman"/>
          <w:i/>
          <w:sz w:val="28"/>
          <w:szCs w:val="28"/>
        </w:rPr>
        <w:t>4.3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E4A7B" w:rsidRDefault="006E4A7B" w:rsidP="00B44E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F73">
        <w:rPr>
          <w:rFonts w:ascii="Times New Roman" w:hAnsi="Times New Roman" w:cs="Times New Roman"/>
          <w:b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 xml:space="preserve"> результаты независимой оценки качества услуг МАУ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ДХорШ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целом подтверждают </w:t>
      </w:r>
      <w:r w:rsidR="00FF3F73">
        <w:rPr>
          <w:rFonts w:ascii="Times New Roman" w:hAnsi="Times New Roman" w:cs="Times New Roman"/>
          <w:sz w:val="28"/>
          <w:szCs w:val="28"/>
        </w:rPr>
        <w:t>выводы, сделанные на основе ежеквартальных опросов получателей услуг внутри учреждения. Получатели услуг довольны их качеством и доступностью, а также положительно отзываются о персонале. Также соответствует требованиям и всегда доступна информация о деятельности организации на официальном сайте, присутствует возможность контакта через телефон и электронную почту. С целью более эффективного информирования получателей услуг и получения обратной связи МАУ ДО «</w:t>
      </w:r>
      <w:proofErr w:type="spellStart"/>
      <w:r w:rsidR="00FF3F73">
        <w:rPr>
          <w:rFonts w:ascii="Times New Roman" w:hAnsi="Times New Roman" w:cs="Times New Roman"/>
          <w:sz w:val="28"/>
          <w:szCs w:val="28"/>
        </w:rPr>
        <w:t>Камышловская</w:t>
      </w:r>
      <w:proofErr w:type="spellEnd"/>
      <w:r w:rsidR="00FF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3F73">
        <w:rPr>
          <w:rFonts w:ascii="Times New Roman" w:hAnsi="Times New Roman" w:cs="Times New Roman"/>
          <w:sz w:val="28"/>
          <w:szCs w:val="28"/>
        </w:rPr>
        <w:t>ДХорШ</w:t>
      </w:r>
      <w:proofErr w:type="spellEnd"/>
      <w:r w:rsidR="00FF3F73">
        <w:rPr>
          <w:rFonts w:ascii="Times New Roman" w:hAnsi="Times New Roman" w:cs="Times New Roman"/>
          <w:sz w:val="28"/>
          <w:szCs w:val="28"/>
        </w:rPr>
        <w:t>» планирует продолжать развивать официальный сайт и обеспечить постоянное присутствие в социальных сетях.</w:t>
      </w:r>
    </w:p>
    <w:p w:rsidR="00FF3F73" w:rsidRDefault="00FF3F73" w:rsidP="00B44E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МАУ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ДХорШ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является учреждением дополнительного образования, оно не может отвечать ряду требований, предъявляемых к общеобразовательным учреждениям (наличие столовой, стадиона, </w:t>
      </w:r>
      <w:r w:rsidR="00A26F15">
        <w:rPr>
          <w:rFonts w:ascii="Times New Roman" w:hAnsi="Times New Roman" w:cs="Times New Roman"/>
          <w:sz w:val="28"/>
          <w:szCs w:val="28"/>
        </w:rPr>
        <w:t xml:space="preserve">кружков и секций и т.д.). Однако образовательное учреждение стремится к обеспечению максимально комфортных и безопасных условий пребывания для всех обучающихся и их родственников, а также повышению эффективности образовательного процесса, поэтому оно выделяет и продолжит выделять средства на приобретение электронных средств обучения и соответствующее оборудование учебных классов и общих помещений. Главным источником проблем на сегодняшний день является нехватка помещений, а также отсутствие возможности полноценно оборудовать территорию учреждения для доступа людей с ОВЗ и инвалидов, в силу того, что учреждение располагается на территории сторонней организации. </w:t>
      </w:r>
    </w:p>
    <w:p w:rsidR="00A26F15" w:rsidRDefault="00A26F15" w:rsidP="00B44EB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F15">
        <w:rPr>
          <w:rFonts w:ascii="Times New Roman" w:hAnsi="Times New Roman" w:cs="Times New Roman"/>
          <w:b/>
          <w:sz w:val="28"/>
          <w:szCs w:val="28"/>
        </w:rPr>
        <w:t>Меры по устранению недостатков и улучшению качества предоставляемых услуг: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F15" w:rsidRPr="00A26F15" w:rsidRDefault="00A26F15" w:rsidP="005C3EA3">
      <w:pPr>
        <w:pStyle w:val="a3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26F15">
        <w:rPr>
          <w:rFonts w:ascii="Times New Roman" w:hAnsi="Times New Roman" w:cs="Times New Roman"/>
          <w:sz w:val="28"/>
          <w:szCs w:val="28"/>
        </w:rPr>
        <w:t>Расширить информирование получателей услуг, оборудовать официальный сайт гостевой книгой и электронной приемной для стабильной и непосредственной обратной связи;</w:t>
      </w:r>
    </w:p>
    <w:p w:rsidR="00A26F15" w:rsidRPr="00A26F15" w:rsidRDefault="00A26F15" w:rsidP="005C3EA3">
      <w:pPr>
        <w:pStyle w:val="a3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26F15">
        <w:rPr>
          <w:rFonts w:ascii="Times New Roman" w:hAnsi="Times New Roman" w:cs="Times New Roman"/>
          <w:sz w:val="28"/>
          <w:szCs w:val="28"/>
        </w:rPr>
        <w:t>Выделять средства для обеспечения образовательного процесса электронными средствами обучения, расширить электронную библиотеку;</w:t>
      </w:r>
    </w:p>
    <w:p w:rsidR="00A26F15" w:rsidRPr="00A26F15" w:rsidRDefault="00A26F15" w:rsidP="005C3EA3">
      <w:pPr>
        <w:pStyle w:val="a3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26F15">
        <w:rPr>
          <w:rFonts w:ascii="Times New Roman" w:hAnsi="Times New Roman" w:cs="Times New Roman"/>
          <w:sz w:val="28"/>
          <w:szCs w:val="28"/>
        </w:rPr>
        <w:t xml:space="preserve">Уделять больше внимания индивидуальной работе с </w:t>
      </w:r>
      <w:proofErr w:type="gramStart"/>
      <w:r w:rsidRPr="00A26F1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26F15">
        <w:rPr>
          <w:rFonts w:ascii="Times New Roman" w:hAnsi="Times New Roman" w:cs="Times New Roman"/>
          <w:sz w:val="28"/>
          <w:szCs w:val="28"/>
        </w:rPr>
        <w:t>.</w:t>
      </w:r>
    </w:p>
    <w:p w:rsidR="00A26F15" w:rsidRDefault="005C3EA3" w:rsidP="005C3EA3">
      <w:pPr>
        <w:pStyle w:val="a3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26F15" w:rsidRPr="00A26F15">
        <w:rPr>
          <w:rFonts w:ascii="Times New Roman" w:hAnsi="Times New Roman" w:cs="Times New Roman"/>
          <w:sz w:val="28"/>
          <w:szCs w:val="28"/>
        </w:rPr>
        <w:t>асширить площади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A26F15" w:rsidRPr="00A26F15">
        <w:rPr>
          <w:rFonts w:ascii="Times New Roman" w:hAnsi="Times New Roman" w:cs="Times New Roman"/>
          <w:sz w:val="28"/>
          <w:szCs w:val="28"/>
        </w:rPr>
        <w:t>, тем самым сделав условия в учреждении более комфортными</w:t>
      </w:r>
      <w:r>
        <w:rPr>
          <w:rFonts w:ascii="Times New Roman" w:hAnsi="Times New Roman" w:cs="Times New Roman"/>
          <w:sz w:val="28"/>
          <w:szCs w:val="28"/>
        </w:rPr>
        <w:t>, доступными для лиц с ограниченными возможностями здоровья,</w:t>
      </w:r>
      <w:r w:rsidR="00A26F15" w:rsidRPr="00A26F15">
        <w:rPr>
          <w:rFonts w:ascii="Times New Roman" w:hAnsi="Times New Roman" w:cs="Times New Roman"/>
          <w:sz w:val="28"/>
          <w:szCs w:val="28"/>
        </w:rPr>
        <w:t xml:space="preserve"> и режим работы и расписание учебных занятий оптимальными для всех участников образовательного процесса. </w:t>
      </w:r>
    </w:p>
    <w:p w:rsidR="005C3EA3" w:rsidRDefault="005C3EA3" w:rsidP="005C3EA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3EA3" w:rsidRPr="00A26F15" w:rsidRDefault="005C3EA3" w:rsidP="005C3EA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Русских А.А., заместитель директора по УВР МАУ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ДХорШ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sectPr w:rsidR="005C3EA3" w:rsidRPr="00A26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55AB8"/>
    <w:multiLevelType w:val="hybridMultilevel"/>
    <w:tmpl w:val="117052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DF"/>
    <w:rsid w:val="001F758E"/>
    <w:rsid w:val="00324415"/>
    <w:rsid w:val="005C3EA3"/>
    <w:rsid w:val="00627BE7"/>
    <w:rsid w:val="006E4A7B"/>
    <w:rsid w:val="00774486"/>
    <w:rsid w:val="009E63DF"/>
    <w:rsid w:val="00A26F15"/>
    <w:rsid w:val="00B44EB3"/>
    <w:rsid w:val="00DF5C28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D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D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dcterms:created xsi:type="dcterms:W3CDTF">2017-11-15T03:53:00Z</dcterms:created>
  <dcterms:modified xsi:type="dcterms:W3CDTF">2017-11-15T05:41:00Z</dcterms:modified>
</cp:coreProperties>
</file>